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D7" w:rsidRPr="00591FD7" w:rsidRDefault="00591FD7" w:rsidP="00591FD7">
      <w:pPr>
        <w:shd w:val="clear" w:color="auto" w:fill="FFFFFF"/>
        <w:spacing w:after="0" w:line="240" w:lineRule="auto"/>
        <w:ind w:left="5664" w:firstLine="708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Приложение № </w:t>
      </w:r>
      <w:r w:rsidR="004D09C4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1</w:t>
      </w:r>
    </w:p>
    <w:p w:rsidR="00591FD7" w:rsidRPr="00591FD7" w:rsidRDefault="00591FD7" w:rsidP="00591FD7">
      <w:pPr>
        <w:shd w:val="clear" w:color="auto" w:fill="FFFFFF"/>
        <w:spacing w:after="0" w:line="240" w:lineRule="auto"/>
        <w:ind w:left="5664" w:firstLine="708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к Приказу </w:t>
      </w:r>
      <w:r w:rsidRPr="00746FAA">
        <w:rPr>
          <w:rFonts w:ascii="yandex-sans" w:eastAsia="Times New Roman" w:hAnsi="yandex-sans" w:cs="Times New Roman"/>
          <w:sz w:val="18"/>
          <w:szCs w:val="18"/>
          <w:lang w:eastAsia="ru-RU"/>
        </w:rPr>
        <w:t xml:space="preserve">№ </w:t>
      </w:r>
      <w:r w:rsidR="004813B1" w:rsidRPr="00746FAA">
        <w:rPr>
          <w:rFonts w:ascii="yandex-sans" w:eastAsia="Times New Roman" w:hAnsi="yandex-sans" w:cs="Times New Roman"/>
          <w:sz w:val="18"/>
          <w:szCs w:val="18"/>
          <w:lang w:eastAsia="ru-RU"/>
        </w:rPr>
        <w:t>1</w:t>
      </w:r>
      <w:r w:rsidR="00746FAA" w:rsidRPr="00746FAA">
        <w:rPr>
          <w:rFonts w:ascii="yandex-sans" w:eastAsia="Times New Roman" w:hAnsi="yandex-sans" w:cs="Times New Roman"/>
          <w:sz w:val="18"/>
          <w:szCs w:val="18"/>
          <w:lang w:eastAsia="ru-RU"/>
        </w:rPr>
        <w:t>а</w:t>
      </w:r>
      <w:r w:rsidRPr="00746FAA">
        <w:rPr>
          <w:rFonts w:ascii="yandex-sans" w:eastAsia="Times New Roman" w:hAnsi="yandex-sans" w:cs="Times New Roman"/>
          <w:sz w:val="18"/>
          <w:szCs w:val="18"/>
          <w:lang w:eastAsia="ru-RU"/>
        </w:rPr>
        <w:t xml:space="preserve"> от</w:t>
      </w:r>
      <w:r w:rsidR="00746FAA" w:rsidRPr="00746FAA">
        <w:rPr>
          <w:rFonts w:ascii="yandex-sans" w:eastAsia="Times New Roman" w:hAnsi="yandex-sans" w:cs="Times New Roman"/>
          <w:sz w:val="18"/>
          <w:szCs w:val="18"/>
          <w:lang w:eastAsia="ru-RU"/>
        </w:rPr>
        <w:t xml:space="preserve"> 01</w:t>
      </w:r>
      <w:r w:rsidRPr="00746FAA">
        <w:rPr>
          <w:rFonts w:ascii="yandex-sans" w:eastAsia="Times New Roman" w:hAnsi="yandex-sans" w:cs="Times New Roman"/>
          <w:sz w:val="18"/>
          <w:szCs w:val="18"/>
          <w:lang w:eastAsia="ru-RU"/>
        </w:rPr>
        <w:t>.</w:t>
      </w:r>
      <w:r w:rsidR="00746FAA" w:rsidRPr="00746FAA">
        <w:rPr>
          <w:rFonts w:ascii="yandex-sans" w:eastAsia="Times New Roman" w:hAnsi="yandex-sans" w:cs="Times New Roman"/>
          <w:sz w:val="18"/>
          <w:szCs w:val="18"/>
          <w:lang w:eastAsia="ru-RU"/>
        </w:rPr>
        <w:t>01</w:t>
      </w:r>
      <w:r w:rsidRPr="00746FAA">
        <w:rPr>
          <w:rFonts w:ascii="yandex-sans" w:eastAsia="Times New Roman" w:hAnsi="yandex-sans" w:cs="Times New Roman"/>
          <w:sz w:val="18"/>
          <w:szCs w:val="18"/>
          <w:lang w:eastAsia="ru-RU"/>
        </w:rPr>
        <w:t>.201</w:t>
      </w:r>
      <w:r w:rsidR="00746FAA" w:rsidRPr="00746FAA">
        <w:rPr>
          <w:rFonts w:ascii="yandex-sans" w:eastAsia="Times New Roman" w:hAnsi="yandex-sans" w:cs="Times New Roman"/>
          <w:sz w:val="18"/>
          <w:szCs w:val="18"/>
          <w:lang w:eastAsia="ru-RU"/>
        </w:rPr>
        <w:t>9</w:t>
      </w:r>
      <w:r w:rsidRPr="00746FAA">
        <w:rPr>
          <w:rFonts w:ascii="yandex-sans" w:eastAsia="Times New Roman" w:hAnsi="yandex-sans" w:cs="Times New Roman"/>
          <w:sz w:val="18"/>
          <w:szCs w:val="18"/>
          <w:lang w:eastAsia="ru-RU"/>
        </w:rPr>
        <w:t>г.</w:t>
      </w:r>
    </w:p>
    <w:p w:rsidR="00591FD7" w:rsidRPr="00591FD7" w:rsidRDefault="00591FD7" w:rsidP="00591FD7">
      <w:pPr>
        <w:shd w:val="clear" w:color="auto" w:fill="FFFFFF"/>
        <w:spacing w:after="0" w:line="240" w:lineRule="auto"/>
        <w:ind w:left="5664" w:firstLine="708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«Об учетной политике для целей</w:t>
      </w:r>
    </w:p>
    <w:p w:rsidR="00591FD7" w:rsidRPr="00591FD7" w:rsidRDefault="00591FD7" w:rsidP="00591FD7">
      <w:pPr>
        <w:shd w:val="clear" w:color="auto" w:fill="FFFFFF"/>
        <w:spacing w:after="0" w:line="240" w:lineRule="auto"/>
        <w:ind w:left="5664" w:firstLine="708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бухгалтерского учета»</w:t>
      </w:r>
    </w:p>
    <w:p w:rsidR="00591FD7" w:rsidRDefault="00591FD7" w:rsidP="00BE5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комиссии по поступлению и выбытию активов</w:t>
      </w:r>
    </w:p>
    <w:p w:rsidR="00BE5569" w:rsidRPr="00591FD7" w:rsidRDefault="00BE5569" w:rsidP="00BE5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1FD7" w:rsidRPr="00BE5569" w:rsidRDefault="00BE5569" w:rsidP="00BE5569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5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Общие положения</w:t>
      </w:r>
    </w:p>
    <w:p w:rsidR="00591FD7" w:rsidRPr="00591FD7" w:rsidRDefault="002153DD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1.1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стандартами бухгалтерского учета для организаций государственного сектора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отчетности организаций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государственного сектора", "Основные средства", "Аренда", "Обесценение активов",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утвержденными приказами Минфина России от 31.12.2016 N 256н, N 257н, N 258н, N 259н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соответственно; с приказами Минфина России от 01.12.2010 N 157н "Об утверждении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Единого плана счетов бухгалтерского учета для органов государственной власти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(государственных органов), органов местного самоуправления, органов управления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государственными внебюджетными фондами, государственных академий наук,</w:t>
      </w:r>
      <w:r w:rsidR="002153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государственных (муниципальных) учреждений и Инструкции по его применению", </w:t>
      </w:r>
      <w:proofErr w:type="gramStart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16.12.2010 N 174н "Об утверждении Плана счетов бухгалтерского учета бюджетных</w:t>
      </w:r>
      <w:r w:rsidR="002153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учреждений и Инструкции по его применению" (далее — Инструкция N 174н);</w:t>
      </w:r>
      <w:r w:rsidR="002153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Приказом Минфина России от 30.03.2015 N 52н "Об утверждении форм первичных</w:t>
      </w:r>
      <w:r w:rsidR="002153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учетных документов и регистров бухгалтерского учета, применяемых органами</w:t>
      </w:r>
      <w:r w:rsidR="002153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местного</w:t>
      </w:r>
      <w:r w:rsidR="002153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самоуправления, органами управления государственными внебюджетными фондами,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государственными (муниципальными) учреждениями, и Методических указаний </w:t>
      </w:r>
      <w:proofErr w:type="gramStart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</w:t>
      </w:r>
      <w:proofErr w:type="gramEnd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их</w:t>
      </w:r>
      <w:proofErr w:type="gramEnd"/>
    </w:p>
    <w:p w:rsidR="002153DD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проведению инвентаризации имущества и</w:t>
      </w:r>
      <w:r w:rsidR="002153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финансовых обязательств, утвержденных приказом Минфина РФ от 13.06.1995 N 49</w:t>
      </w:r>
      <w:r w:rsidR="002153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</w:p>
    <w:p w:rsidR="002153DD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1.2. Персональный состав комиссии утверждается отдельным приказом.</w:t>
      </w:r>
    </w:p>
    <w:p w:rsidR="00591FD7" w:rsidRDefault="002153DD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1.3.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Комиссию возглавляет председатель, который осуществляет общее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руководство деятельностью Комиссии, обеспечивает коллегиальность в обсуждении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спорных вопросов, распределяет обязанности и дает поручения членам Комиссии.</w:t>
      </w:r>
    </w:p>
    <w:p w:rsidR="002153DD" w:rsidRPr="00591FD7" w:rsidRDefault="002153DD" w:rsidP="00215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 Комиссия проводит заседания по мере необходимости.</w:t>
      </w:r>
    </w:p>
    <w:p w:rsidR="002153DD" w:rsidRPr="002153DD" w:rsidRDefault="00591FD7" w:rsidP="002153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1.5. Срок рассмотрения Комиссией представленных ей документов не </w:t>
      </w:r>
      <w:r w:rsidRPr="0059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21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3DD" w:rsidRPr="0021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 5 дней.</w:t>
      </w:r>
    </w:p>
    <w:p w:rsidR="002153DD" w:rsidRPr="002153DD" w:rsidRDefault="002153DD" w:rsidP="00215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1.6.Решения Комиссии считаются правомочными, если на ее заседании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 не менее 50% от общего числа ее членов.</w:t>
      </w:r>
    </w:p>
    <w:p w:rsidR="002153DD" w:rsidRPr="002153DD" w:rsidRDefault="002153DD" w:rsidP="00215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1.7.Комиссия принимает решения по вопросам поступления и выбытия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нефинансовых активов.</w:t>
      </w:r>
    </w:p>
    <w:p w:rsidR="002153DD" w:rsidRPr="002153DD" w:rsidRDefault="002153DD" w:rsidP="00215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полномочиям комиссии также относится проведение плановых и внеплановых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инвентаризаций имущества и обязательств.</w:t>
      </w:r>
    </w:p>
    <w:p w:rsidR="00BE5569" w:rsidRDefault="00591FD7" w:rsidP="00BE556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18"/>
          <w:szCs w:val="18"/>
          <w:shd w:val="clear" w:color="auto" w:fill="FFFFFF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1.8. При отсутствии работников учреждения, обладающих специальными знаниями,</w:t>
      </w:r>
      <w:r w:rsidR="002153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 участия в заседаниях комиссии могут приглашаться эксперты. Экспертом не может</w:t>
      </w:r>
      <w:r w:rsidR="002153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быть материально ответственное лицо учреждения, на которое возложена</w:t>
      </w:r>
      <w:r w:rsidR="002153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ответственность за материальные ценности, в отношении которых принимается решение</w:t>
      </w:r>
      <w:r w:rsidR="002153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2153DD" w:rsidRPr="0021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списании</w:t>
      </w:r>
      <w:r w:rsidR="002153DD">
        <w:rPr>
          <w:rFonts w:ascii="yandex-sans" w:hAnsi="yandex-sans"/>
          <w:color w:val="000000"/>
          <w:sz w:val="18"/>
          <w:szCs w:val="18"/>
          <w:shd w:val="clear" w:color="auto" w:fill="FFFFFF"/>
        </w:rPr>
        <w:t xml:space="preserve">. </w:t>
      </w:r>
    </w:p>
    <w:p w:rsidR="00BE5569" w:rsidRPr="00BE5569" w:rsidRDefault="00BE5569" w:rsidP="00BE5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1.9.Решение комиссии оформляется протоколом. Протокол подписывают председатель и члены комиссии, присутствовавшие на заседании. Также Комиссия оформляет соответствующие акты о поступлении и выбытии нефинансовых активов.</w:t>
      </w:r>
    </w:p>
    <w:p w:rsid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1.10. Оформленные в установленном порядке документы, необходимые для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согласования решения о списании имущества, Комиссия передает в бухгалтерию.</w:t>
      </w:r>
    </w:p>
    <w:p w:rsidR="00BE5569" w:rsidRPr="00591FD7" w:rsidRDefault="00BE5569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91FD7" w:rsidRPr="00BE5569" w:rsidRDefault="00591FD7" w:rsidP="00BE5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Принятие решений при поступлении нефинансовых активов и в ходе их</w:t>
      </w:r>
    </w:p>
    <w:p w:rsidR="00591FD7" w:rsidRPr="00591FD7" w:rsidRDefault="00591FD7" w:rsidP="00BE55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E5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эксплуатации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2.1. Комиссия принимает решения по следующим вопросам: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1) выявление при приемке нефинансовых активов товаров ненадлежащего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качества;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2) определение категории поступающего имущества (основные средства,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нематериальные активы, </w:t>
      </w:r>
      <w:proofErr w:type="spellStart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непроизведенные</w:t>
      </w:r>
      <w:proofErr w:type="spellEnd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активы или материальные запасы);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3) определение срока полезного использования поступающих в учреждение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основных средств и нематериальных активов в целях принятия к учету и начисления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амортизации;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4) определение первоначальной (фактической) стоимости поступающих в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учреждение нефинансовых активов в установленных случаях;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5) изменение первоначальной (фактической) стоимости нефинансовых активов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учреждения и сроков их полезного использования, обесценение основных средств и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нематериальных активов;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6) </w:t>
      </w:r>
      <w:proofErr w:type="gramStart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обозначением материально ответственными лицами инвентарных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номеров на соответствующих объектах основных средств;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7) отнесение объектов имущества к особо ценному движимому имуществу;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8) определение перечня объектов имущества, полностью или частично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используемых в приносящей доход деятельности;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9) подготовка заключений об использовании объектов имущества, учитываемых в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рамках вида финансового обеспечения 2 "Приносящая доход деятельность", в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деятельности по выполнению государственного (муниципального) задания с целью их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закрепления за учреждением и перевода на учет по виду финансового обеспечения 4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"Субсидии на выполнение государственного (муниципального) задания";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10) оценка обоснованности (эффективности) финансово-экономических решений,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принимаемых при изготовлении объектов нефинансовых активов хозяйственным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способом.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2.2. В случае выявления товаров ненадлежащего качества при их приемке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комиссией оформляется Акт приемки материалов (материальных ценностей) (ф. 0504220)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(в том числе при поступлении материальных запасов, некачественных объектов,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подлежащих учету в составе основных средств, и других материальных ценностей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ненадлежащего качества).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2.3. При принятии к учету объектов имущества комиссия проверяет наличие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сопроводительных документов и технической документации, а также производит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инвентаризацию приспособлений, принадлежностей, составных частей поступающего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имущества в соответствии с данными в указанных документах.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2.4.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Решение об отнесении объекта имущества к основным средствам,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нематериальным активам, </w:t>
      </w:r>
      <w:proofErr w:type="spellStart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непроизведенным</w:t>
      </w:r>
      <w:proofErr w:type="spellEnd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активам или материальным запасам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принимается в соответствии с положениями федеральных стандартов для организаций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госсектора, Инструкции № 157н, а также Учетной политикой для целей бухгалтерского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учета.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2.5. Решение о сроках полезного использования поступивших в учреждение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основных средств, нематериальных активов в целях их принятия к учету и начисления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амортизации принимается комиссией в соответствии с требованиями п. 35 стандарта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"Основные средства", п.п. 44, 60, 61 Инструкции N 157н, а также согласно положениям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Учетной политики для целей бухгалтерского учета.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2.6. Первоначальная (фактическая) стоимость объектов нефинансовых активов при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их приобретении, сооружении, изготовлении (создании) определяется на основании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сопроводительной документации (контрактов, договоров, актов выполненных работ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(оказанных услуг), накладных и других сопроводительных документов поставщиков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(исполнителей)) согласно требованиям федеральных стандартов, Инструкции N 157н и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Учетной политики для целей бухгалтерского учета.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2.7. По решению комиссии затраты могут быть признаны непосредственно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связанными с приобретением, сооружением или изготовлением (созданием) объектов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нефинансовых активов с целью их включения в первоначальную (фактическую) стоимость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этих активов. Положения данного пункта применяются в отношении тех затрат, включение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которых в первоначальную (фактическую) стоимость объектов нефинансовых активов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прямо не предусмотрено федеральными стандартами, Инструкцией N 157н и Учетной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политикой для целей бухгалтерского учета.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2.8. При получении объектов государственного (муниципального) имущества от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органов государственной власти (местного самоуправления), государственных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(муниципальных) организаций, созданных на базе государственного (муниципального)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имущества, в связи с закреплением этого имущества на праве оперативного управления,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принятие к учету объектов нефинансовых активов осуществляется на основании Актов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приема-передачи</w:t>
      </w:r>
    </w:p>
    <w:p w:rsidR="00591FD7" w:rsidRPr="00591FD7" w:rsidRDefault="00BE5569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иных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представленных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предыдущим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балансодержателем, в соответствии с требованиями п. 29 Инструкции N 157н, п. 24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стандарта «Основные средства»: в оценке, определенной передающей стороной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(собственником) - по стоимости, отраженной в передаточных документах.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2.9. При поступлении объектов нефинансовых активов по договорам дарения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(пожертвования) от юридических и физических лиц, </w:t>
      </w:r>
      <w:proofErr w:type="spellStart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оприходовании</w:t>
      </w:r>
      <w:proofErr w:type="spellEnd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неучтенных активов,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выявленных при инвентаризации и проверках, поступлении объектов имущества от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разукомплектации</w:t>
      </w:r>
      <w:proofErr w:type="spellEnd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(частичной ликвидации) объектов нефинансовых активов, поступлении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материальных запасов в результате разборки, утилизации (ликвидации) основных средств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или иного имущества стоимость нефинансовых активов определяется комиссией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согласно положениям п. 52 стандарта «Концептуальные основы …», п. 22 стандарта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«Основные средства», п.п. 23, 25, 31, 106, 357 Инструкции N 157н и Учетной политики для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целей бухгалтерского учета.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 частичной ликвидации объекта основных средств расчет стоимости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ликвидируемой части объекта осуществляется согласно с Учетной политикой для целей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бухгалтерского учета.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2.10. Первоначальной стоимостью земельных участков, находящихся у учреждения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 праве постоянного (бессрочного) пользования, признается их </w:t>
      </w:r>
      <w:proofErr w:type="gramStart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рыночная</w:t>
      </w:r>
      <w:proofErr w:type="gramEnd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(кадастровая)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стоимость (п. 23 Инструкции N 157н).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2.11. При начислении задолженности по недостаче нефинансовых активов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восстановительная стоимость нефинансовых активов определяется комиссией на день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обнаружения ущерба согласно положениям п. 220 Инструкции N 157н и Учетной политики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 целей бухгалтерского учета.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2.12. В случае достройки, реконструкции, дооборудования, модернизации </w:t>
      </w:r>
      <w:proofErr w:type="gramStart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основных</w:t>
      </w:r>
      <w:proofErr w:type="gramEnd"/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средств комиссией может быть принято решение об увеличении срока полезного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использования соответствующих объектов (п. 44 Инструкции N 157н, Учетная политика</w:t>
      </w:r>
      <w:proofErr w:type="gramEnd"/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 целей бухгалтерского учета). Решение об увеличении срока полезного использования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основных средств принимается на основании заключения комиссии, согласно которому </w:t>
      </w:r>
      <w:proofErr w:type="gramStart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результате произведенных работ изменились первоначально </w:t>
      </w:r>
      <w:proofErr w:type="gramStart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принятые</w:t>
      </w:r>
      <w:proofErr w:type="gramEnd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нормативные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показатели функционирования объекта.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2.13.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случае достройки, реконструкции, дооборудования, модернизации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нефинансовых активов (основных средств, нематериальных активов, материальных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запасов) комиссией принимается решение об увеличении их первоначальной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(фактической) стоимости (п. 19 стандарта "Основные средства", п.п. 27, 55, 69, 120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Инструкции N 157н; Учетная политика для целей бухгалтерского учета).</w:t>
      </w:r>
      <w:r w:rsidR="00BE5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2.14. Уполномоченный член комиссии контролирует нанесение материально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ответственным лицом присвоенных объектам основных средств инвентарных номеров, а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также маркировку мягкого инвентаря и иных объектов материальных запасов с учетом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требований п.п. 46, 118 Инструкции N 157н и Учетной политики для целей бухгалтерского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учета.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2.15. При частичной ликвидации (</w:t>
      </w:r>
      <w:proofErr w:type="spellStart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разукомплектации</w:t>
      </w:r>
      <w:proofErr w:type="spellEnd"/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 объекта нефинансовых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активов комиссия принимает решение о расчете стоимости ликвидируемой части объекта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соответствии с Учетной политикой для целей бухгалтерского учета.</w:t>
      </w:r>
    </w:p>
    <w:p w:rsidR="00591FD7" w:rsidRP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2.16. При принятии имущества (вложений) к балансовому учету движимое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имущество относится комиссией к особо ценному движимому имуществу или иному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движимому</w:t>
      </w:r>
    </w:p>
    <w:p w:rsidR="00591FD7" w:rsidRPr="00591FD7" w:rsidRDefault="00395F9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и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муществу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критериям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(требованиям),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установленным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постановлением Правительства РФ от 26.07.2010 N 538 и правовыми актами иных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91FD7"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уполномоченных органов.</w:t>
      </w:r>
    </w:p>
    <w:p w:rsidR="00591FD7" w:rsidRDefault="00591FD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2.17. При поступлении нефинансовых активов, а также в ходе их эксплуатации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(использования) комиссией оформляются следующие первичные документы:</w:t>
      </w:r>
    </w:p>
    <w:p w:rsidR="00395F97" w:rsidRPr="00591FD7" w:rsidRDefault="00395F9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6"/>
        <w:gridCol w:w="4992"/>
      </w:tblGrid>
      <w:tr w:rsidR="00591FD7" w:rsidRPr="002153DD" w:rsidTr="00591FD7">
        <w:trPr>
          <w:trHeight w:val="444"/>
        </w:trPr>
        <w:tc>
          <w:tcPr>
            <w:tcW w:w="4476" w:type="dxa"/>
          </w:tcPr>
          <w:p w:rsidR="00591FD7" w:rsidRPr="002153DD" w:rsidRDefault="00591FD7" w:rsidP="002153DD">
            <w:pPr>
              <w:jc w:val="both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Первичные учетные документы</w:t>
            </w:r>
          </w:p>
        </w:tc>
        <w:tc>
          <w:tcPr>
            <w:tcW w:w="4992" w:type="dxa"/>
          </w:tcPr>
          <w:p w:rsidR="00591FD7" w:rsidRPr="002153DD" w:rsidRDefault="00591FD7" w:rsidP="002153DD">
            <w:pPr>
              <w:jc w:val="both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Основания для оформления</w:t>
            </w:r>
          </w:p>
        </w:tc>
      </w:tr>
      <w:tr w:rsidR="00591FD7" w:rsidRPr="002153DD" w:rsidTr="00591FD7">
        <w:trPr>
          <w:trHeight w:val="444"/>
        </w:trPr>
        <w:tc>
          <w:tcPr>
            <w:tcW w:w="4476" w:type="dxa"/>
          </w:tcPr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Акт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приеме-передаче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нефинансовых активов (ф. 0504101)</w:t>
            </w:r>
          </w:p>
          <w:p w:rsidR="00591FD7" w:rsidRPr="002153DD" w:rsidRDefault="00591FD7" w:rsidP="002153DD">
            <w:pPr>
              <w:jc w:val="both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2" w:type="dxa"/>
          </w:tcPr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Поступление</w:t>
            </w:r>
          </w:p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имущества (в том числе </w:t>
            </w:r>
            <w:proofErr w:type="spellStart"/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непроизведенных</w:t>
            </w:r>
            <w:proofErr w:type="spellEnd"/>
            <w:proofErr w:type="gramEnd"/>
          </w:p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активов) по любым основаниям, а также</w:t>
            </w:r>
          </w:p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неотделимых улучшений в </w:t>
            </w:r>
            <w:proofErr w:type="gramStart"/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арендованное</w:t>
            </w:r>
            <w:proofErr w:type="gramEnd"/>
          </w:p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имущество.</w:t>
            </w:r>
          </w:p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</w:p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прилагаются документы, подтверждающие</w:t>
            </w:r>
          </w:p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государственную регистрацию объектов</w:t>
            </w:r>
          </w:p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недвижимости</w:t>
            </w:r>
          </w:p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Поступление</w:t>
            </w:r>
          </w:p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объектов имущества (в том числе отдельных видов</w:t>
            </w:r>
            <w:proofErr w:type="gramEnd"/>
          </w:p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непроизведенных</w:t>
            </w:r>
            <w:proofErr w:type="spellEnd"/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активов), нематериальных</w:t>
            </w:r>
            <w:proofErr w:type="gramEnd"/>
          </w:p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активов по любым основаниям, </w:t>
            </w:r>
            <w:proofErr w:type="gramStart"/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- объектов основных средств стоимостью </w:t>
            </w:r>
            <w:proofErr w:type="gramStart"/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10000 рублей включительно;</w:t>
            </w:r>
          </w:p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библиотечного фонда.</w:t>
            </w:r>
          </w:p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Поступление однородных групп объектов</w:t>
            </w:r>
          </w:p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основных средств, нематериальных и</w:t>
            </w:r>
          </w:p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непроизведенных</w:t>
            </w:r>
            <w:proofErr w:type="spellEnd"/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активов по любым</w:t>
            </w:r>
          </w:p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основаниям, кроме, объектов </w:t>
            </w:r>
            <w:proofErr w:type="gramStart"/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движимого</w:t>
            </w:r>
            <w:proofErr w:type="gramEnd"/>
          </w:p>
          <w:p w:rsidR="00591FD7" w:rsidRPr="00591FD7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имущества, стоимостью до 10000 руб.</w:t>
            </w:r>
          </w:p>
          <w:p w:rsidR="00591FD7" w:rsidRPr="002153DD" w:rsidRDefault="00591FD7" w:rsidP="00395F97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включительно.</w:t>
            </w:r>
          </w:p>
        </w:tc>
      </w:tr>
      <w:tr w:rsidR="00591FD7" w:rsidRPr="002153DD" w:rsidTr="00591FD7">
        <w:trPr>
          <w:trHeight w:val="444"/>
        </w:trPr>
        <w:tc>
          <w:tcPr>
            <w:tcW w:w="4476" w:type="dxa"/>
          </w:tcPr>
          <w:p w:rsidR="00591FD7" w:rsidRPr="002153DD" w:rsidRDefault="00591FD7" w:rsidP="00395F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Приходный ордер на приемку материальных</w:t>
            </w:r>
            <w:r w:rsidR="00395F9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ценностей (нефинансовых активов) (ф.</w:t>
            </w:r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0504207)</w:t>
            </w:r>
          </w:p>
        </w:tc>
        <w:tc>
          <w:tcPr>
            <w:tcW w:w="4992" w:type="dxa"/>
          </w:tcPr>
          <w:p w:rsidR="00591FD7" w:rsidRPr="002153DD" w:rsidRDefault="00591FD7" w:rsidP="002153D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Завершение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достройке,</w:t>
            </w:r>
            <w:r w:rsidRPr="002153DD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реконструкции, </w:t>
            </w: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модернизации,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дооборудованию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основных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</w:tr>
      <w:tr w:rsidR="00591FD7" w:rsidRPr="002153DD" w:rsidTr="00591FD7">
        <w:trPr>
          <w:trHeight w:val="444"/>
        </w:trPr>
        <w:tc>
          <w:tcPr>
            <w:tcW w:w="4476" w:type="dxa"/>
          </w:tcPr>
          <w:p w:rsidR="00591FD7" w:rsidRPr="002153DD" w:rsidRDefault="00591FD7" w:rsidP="00395F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Акт о модернизации нематериального актива</w:t>
            </w:r>
          </w:p>
        </w:tc>
        <w:tc>
          <w:tcPr>
            <w:tcW w:w="4992" w:type="dxa"/>
          </w:tcPr>
          <w:p w:rsidR="00591FD7" w:rsidRPr="002153DD" w:rsidRDefault="00591FD7" w:rsidP="00395F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случае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нематериального актива в результате</w:t>
            </w:r>
            <w:r w:rsidR="00395F9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модернизации</w:t>
            </w:r>
          </w:p>
        </w:tc>
      </w:tr>
      <w:tr w:rsidR="00591FD7" w:rsidRPr="002153DD" w:rsidTr="00591FD7">
        <w:trPr>
          <w:trHeight w:val="444"/>
        </w:trPr>
        <w:tc>
          <w:tcPr>
            <w:tcW w:w="4476" w:type="dxa"/>
          </w:tcPr>
          <w:p w:rsidR="00591FD7" w:rsidRPr="002153DD" w:rsidRDefault="00591FD7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Акт о консервации (</w:t>
            </w:r>
            <w:proofErr w:type="spellStart"/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расконсервации</w:t>
            </w:r>
            <w:proofErr w:type="spellEnd"/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) объектов основных средств</w:t>
            </w:r>
          </w:p>
        </w:tc>
        <w:tc>
          <w:tcPr>
            <w:tcW w:w="4992" w:type="dxa"/>
          </w:tcPr>
          <w:p w:rsidR="00591FD7" w:rsidRPr="002153DD" w:rsidRDefault="00591FD7" w:rsidP="00395F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Документ оформляется при консервации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объектов основных средств на срок более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трех месяцев и при </w:t>
            </w:r>
            <w:proofErr w:type="spellStart"/>
            <w:r w:rsidRPr="00591F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расконсервации</w:t>
            </w:r>
            <w:proofErr w:type="spellEnd"/>
          </w:p>
        </w:tc>
      </w:tr>
      <w:tr w:rsidR="00951301" w:rsidRPr="002153DD" w:rsidTr="00591FD7">
        <w:trPr>
          <w:trHeight w:val="444"/>
        </w:trPr>
        <w:tc>
          <w:tcPr>
            <w:tcW w:w="4476" w:type="dxa"/>
          </w:tcPr>
          <w:p w:rsidR="00951301" w:rsidRPr="00951301" w:rsidRDefault="00951301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Акт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разукомплектации</w:t>
            </w:r>
            <w:proofErr w:type="spellEnd"/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(частичной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ликвидации) основного средства</w:t>
            </w:r>
          </w:p>
          <w:p w:rsidR="00951301" w:rsidRPr="002153DD" w:rsidRDefault="00951301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2" w:type="dxa"/>
          </w:tcPr>
          <w:p w:rsidR="00951301" w:rsidRPr="002153DD" w:rsidRDefault="00951301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Решение о </w:t>
            </w:r>
            <w:proofErr w:type="spellStart"/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разукомплектации</w:t>
            </w:r>
            <w:proofErr w:type="spellEnd"/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(частичной ликвидации) объектов основных средств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силами учреждения (Учетная политика для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целей бухгалтерского учета)</w:t>
            </w:r>
          </w:p>
        </w:tc>
      </w:tr>
      <w:tr w:rsidR="00951301" w:rsidRPr="002153DD" w:rsidTr="00591FD7">
        <w:trPr>
          <w:trHeight w:val="444"/>
        </w:trPr>
        <w:tc>
          <w:tcPr>
            <w:tcW w:w="4476" w:type="dxa"/>
          </w:tcPr>
          <w:p w:rsidR="00951301" w:rsidRPr="002153DD" w:rsidRDefault="00951301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Акт о приемке материалов (материальных ценностей) (ф. 0504220)</w:t>
            </w:r>
          </w:p>
        </w:tc>
        <w:tc>
          <w:tcPr>
            <w:tcW w:w="4992" w:type="dxa"/>
          </w:tcPr>
          <w:p w:rsidR="00951301" w:rsidRPr="00951301" w:rsidRDefault="00951301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- Выявление расхождений </w:t>
            </w:r>
            <w:proofErr w:type="gramStart"/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фактического</w:t>
            </w:r>
            <w:proofErr w:type="gramEnd"/>
          </w:p>
          <w:p w:rsidR="00951301" w:rsidRPr="00951301" w:rsidRDefault="00951301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наличия материалов с данными документов</w:t>
            </w:r>
          </w:p>
          <w:p w:rsidR="00951301" w:rsidRPr="002153DD" w:rsidRDefault="00951301" w:rsidP="002153DD">
            <w:pPr>
              <w:shd w:val="clear" w:color="auto" w:fill="FFFFFF"/>
              <w:spacing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поставщика;</w:t>
            </w:r>
            <w:r w:rsidRPr="002153DD">
              <w:rPr>
                <w:rFonts w:ascii="yandex-sans" w:hAnsi="yandex-sans"/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- принятие к учету материалов, </w:t>
            </w:r>
            <w:proofErr w:type="spellStart"/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полученных</w:t>
            </w: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ликвидации (разборке, утилизации)</w:t>
            </w:r>
            <w:proofErr w:type="gramStart"/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роведения демонтажных и ремонтных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работ объектов основных средств (на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основанииданных,отраженных</w:t>
            </w:r>
            <w:proofErr w:type="spellEnd"/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соответствующем Акте на списание)</w:t>
            </w:r>
          </w:p>
        </w:tc>
      </w:tr>
    </w:tbl>
    <w:p w:rsidR="00395F97" w:rsidRDefault="00395F9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Соответствующие Акты и (или) приходные ордера составляются также в случае: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оприходования</w:t>
      </w:r>
      <w:proofErr w:type="spellEnd"/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неучтенных объектов нефинансовых активов, выявленных при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инвентаризации;</w:t>
      </w:r>
    </w:p>
    <w:p w:rsid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принятия к учету материальных ценностей, поступивших в порядке возмещения в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натуральной форме ущерба, причиненного виновным лицом.</w:t>
      </w:r>
    </w:p>
    <w:p w:rsidR="00395F97" w:rsidRPr="00951301" w:rsidRDefault="00395F9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51301" w:rsidRPr="00395F97" w:rsidRDefault="00951301" w:rsidP="00395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Принятие решений по выбытию активов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3.1.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 выбытии (списании) активов комиссия осуществляет следующие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полномочия: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1) осмотр имущества;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2) принятие решения по вопросу о целесообразности (возможности) дальнейшего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использования (восстановления) имущества или его частей (узлов, деталей, конструкций</w:t>
      </w:r>
      <w:proofErr w:type="gramEnd"/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материалов) с учетом положений Учетной политики для целей бухгалтерского учета;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3) установление причин списания имущества;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4)проверка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документов,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представленных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инициировавшими рассмотрение вопроса о списании имущества;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5) принятие решения о необходимости: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затребования дополнительных документов (информации);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привлечения специалистов (экспертов) и (или) специализированных организаций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 принятия решения;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6) принятие решения о списании имущества (в том числе числящихся за балансом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объектов движимого имущества, периодических изданий), </w:t>
      </w:r>
      <w:proofErr w:type="gramStart"/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дебиторской</w:t>
      </w:r>
      <w:proofErr w:type="gramEnd"/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кредиторской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задолженности;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7) подготовка Акта о списании имущества и документов для согласования списания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имущества;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8) </w:t>
      </w:r>
      <w:proofErr w:type="gramStart"/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изъятием из списываемого имущества пригодных узлов, деталей,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конструкций и материалов;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9) контроль изъятия из списываемого имущества пригодных к использованию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материальных ценностей (в том числе драгоценных металлов и камней, цветных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металлов), определение их количества и веса;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10) контроль сдачи на склад пригодных к использованию материальных ценностей,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полученных в результате разборки (демонтажа) объектов имущества;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11) установление лиц, виновных в списании имущества в результате нарушение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условий содержания и (или) эксплуатации, недостач, порчи, хищений;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12) осуществление сверок с дебиторами и кредиторами с целью принятия решения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 списании дебиторской и кредиторской задолженности;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3.2. Комиссия принимает решение о выбытии (списании) активов учреждения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согласно положениям п.п. 45, 46 стандарта «Основные средства», п.п. 34, 51, 63, 339, 371,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377 Инструкции N 157н в следующих случаях: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1) имущество непригодно для дальнейшего использования по целевому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назначению вследствие полной или частичной утраты потребительских свойств, в том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числе физического или морального износа;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2) имущество выбыло из владения, пользования, распоряжения вследствие гибели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или уничтожения, в том числе помимо воли учреждения (хищения, недостачи и порчи,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выявленные при инвентаризации), а также невозможности выяснения его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местонахождения;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3) имущество в установленном порядке передается иной организации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государственного сектора, государственному (муниципальному) предприятию;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4) в иных случаях прекращения права оперативного управления, предусмотренных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действующим законодательством;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 xml:space="preserve">5) признание дебиторской задолженности безнадежной </w:t>
      </w:r>
      <w:proofErr w:type="gramStart"/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</w:t>
      </w:r>
      <w:proofErr w:type="gramEnd"/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взысканию в целях ее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списания с балансового учета в связи с истечением срока исковой давности (ст. 196 ГК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РФ), прекращением (приостановлением) исполнительного производства по основаниям,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предусмотренным Федеральным законом от 02.10.2007 N 229-ФЗ "Об исполнительном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производстве", а также в соответствии с положениями главы 26 "Прекращение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обязательств" ГК РФ;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6) признание дебиторской задолженности, подлежащей списанию с </w:t>
      </w:r>
      <w:proofErr w:type="spellStart"/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забалансового</w:t>
      </w:r>
      <w:proofErr w:type="spellEnd"/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учета, при завершении </w:t>
      </w:r>
      <w:proofErr w:type="gramStart"/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срока возможного возобновления процедуры взыскания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задолженности</w:t>
      </w:r>
      <w:proofErr w:type="gramEnd"/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согласно действующему законодательству, а также при получении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документов, подтверждающих прекращение обязательств смертью (ликвидацией)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дебитора;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7) признание согласно положениям Учетной политики для целей бухгалтерского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учета кредиторской задолженности невостребованной кредиторами в целях ее списания с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балансового учета и истечение срока учета кредиторской задолженности за балансом </w:t>
      </w:r>
      <w:proofErr w:type="gramStart"/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целях</w:t>
      </w:r>
      <w:proofErr w:type="gramEnd"/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ее списания с </w:t>
      </w:r>
      <w:proofErr w:type="spellStart"/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забалансового</w:t>
      </w:r>
      <w:proofErr w:type="spellEnd"/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учета.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3.3. Комиссия принимает решения по выбытию (списанию) активов с учетом: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1) наличия технического заключения экспертов или сотрудников учреждения,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обладающих специальными знаниями, о состоянии объектов имущества, подлежащих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списанию, или дефектной ведомости на оборудование, находящееся в эксплуатации, а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также на производственный и хозяйственный инвентарь - при списании основных средств,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пригодных</w:t>
      </w:r>
      <w:proofErr w:type="gramEnd"/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 использованию по назначению;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2) информации о наличии драгоценных металлов и драгоценных камней,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содержащихся в списываемых основных средствах, которые учитываются в порядке,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установленном приказом Минфина России от 09.12.2016 N 231н "Об утверждении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Инструкции о порядке учета и хранения драгоценных металлов, драгоценных камней,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продукции из них и ведения отчетности при их производстве, использовании и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обращении";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3) наличия акта об аварии или заверенной его копии, а также пояснений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причастных лиц о причинах, вызвавших аварию - при списании основных средств,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выбывших вследствие аварий и иных чрезвычайных обстоятельств;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4) наличия иных документов, подтверждающих факт преждевременного выбытия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имущества из владения, пользования и распоряжения.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3.4. В установленных действующими нормативными правовыми актами случаях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комиссия передает в уполномоченный орган власти (местного самоуправления) Акт о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списании имущества и иные документы, необходимые для согласования решения о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списании имущества. После согласования Акт передается на утверждение руководителю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учреждения.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3.5. После утверждения Акта о списании имущества комиссия контролирует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выполнение мероприятий, предусмотренных этим актом: разборку, демонтаж,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уничтожение, утилизацию и т.п.</w:t>
      </w:r>
    </w:p>
    <w:p w:rsidR="00951301" w:rsidRPr="00951301" w:rsidRDefault="00951301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3.6. При выбытии (списании) активов комиссией оформляются следующие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513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первичные документы: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6"/>
        <w:gridCol w:w="4992"/>
      </w:tblGrid>
      <w:tr w:rsidR="00951301" w:rsidRPr="002153DD" w:rsidTr="002153DD">
        <w:trPr>
          <w:trHeight w:val="444"/>
        </w:trPr>
        <w:tc>
          <w:tcPr>
            <w:tcW w:w="4476" w:type="dxa"/>
          </w:tcPr>
          <w:p w:rsidR="00951301" w:rsidRPr="002153DD" w:rsidRDefault="00951301" w:rsidP="002153DD">
            <w:pPr>
              <w:jc w:val="both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Первичные учетные документы</w:t>
            </w:r>
          </w:p>
        </w:tc>
        <w:tc>
          <w:tcPr>
            <w:tcW w:w="4992" w:type="dxa"/>
          </w:tcPr>
          <w:p w:rsidR="00951301" w:rsidRPr="002153DD" w:rsidRDefault="00951301" w:rsidP="002153DD">
            <w:pPr>
              <w:jc w:val="both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Основания для оформления</w:t>
            </w:r>
          </w:p>
        </w:tc>
      </w:tr>
      <w:tr w:rsidR="00951301" w:rsidRPr="002153DD" w:rsidTr="002153DD">
        <w:trPr>
          <w:trHeight w:val="444"/>
        </w:trPr>
        <w:tc>
          <w:tcPr>
            <w:tcW w:w="4476" w:type="dxa"/>
          </w:tcPr>
          <w:p w:rsidR="00951301" w:rsidRPr="00951301" w:rsidRDefault="00951301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Акт о списании объектов нефинансовых</w:t>
            </w:r>
          </w:p>
          <w:p w:rsidR="00951301" w:rsidRPr="002153DD" w:rsidRDefault="00951301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активов (кроме транспортных средств) (ф.</w:t>
            </w:r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0504104)</w:t>
            </w:r>
          </w:p>
        </w:tc>
        <w:tc>
          <w:tcPr>
            <w:tcW w:w="4992" w:type="dxa"/>
          </w:tcPr>
          <w:p w:rsidR="00951301" w:rsidRPr="002153DD" w:rsidRDefault="00951301" w:rsidP="002153DD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основных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(кроме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автотранспортных </w:t>
            </w: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средств)</w:t>
            </w:r>
            <w:proofErr w:type="gramStart"/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ематериальных активов, </w:t>
            </w:r>
            <w:proofErr w:type="spellStart"/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непроизведенных</w:t>
            </w:r>
            <w:proofErr w:type="spellEnd"/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активов</w:t>
            </w:r>
          </w:p>
        </w:tc>
      </w:tr>
      <w:tr w:rsidR="00951301" w:rsidRPr="002153DD" w:rsidTr="002153DD">
        <w:trPr>
          <w:trHeight w:val="444"/>
        </w:trPr>
        <w:tc>
          <w:tcPr>
            <w:tcW w:w="4476" w:type="dxa"/>
          </w:tcPr>
          <w:p w:rsidR="00951301" w:rsidRPr="002153DD" w:rsidRDefault="00951301" w:rsidP="00395F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Акт о списании транспортного средства (ф.</w:t>
            </w:r>
            <w:r w:rsidR="00395F9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0504105)</w:t>
            </w:r>
          </w:p>
        </w:tc>
        <w:tc>
          <w:tcPr>
            <w:tcW w:w="4992" w:type="dxa"/>
          </w:tcPr>
          <w:p w:rsidR="00951301" w:rsidRPr="002153DD" w:rsidRDefault="00951301" w:rsidP="002153D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Списание транспортных средств</w:t>
            </w:r>
          </w:p>
        </w:tc>
      </w:tr>
      <w:tr w:rsidR="00951301" w:rsidRPr="002153DD" w:rsidTr="002153DD">
        <w:trPr>
          <w:trHeight w:val="444"/>
        </w:trPr>
        <w:tc>
          <w:tcPr>
            <w:tcW w:w="4476" w:type="dxa"/>
          </w:tcPr>
          <w:p w:rsidR="00951301" w:rsidRPr="002153DD" w:rsidRDefault="00951301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Акт о списании мягкого и хозяйственного инвентаря (ф. 0504143)</w:t>
            </w:r>
          </w:p>
        </w:tc>
        <w:tc>
          <w:tcPr>
            <w:tcW w:w="4992" w:type="dxa"/>
          </w:tcPr>
          <w:p w:rsidR="00951301" w:rsidRPr="002153DD" w:rsidRDefault="00951301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однородных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хозяйственного инвентаря (в т.ч. списание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указанных объектов с </w:t>
            </w:r>
            <w:proofErr w:type="spellStart"/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забалансового</w:t>
            </w:r>
            <w:proofErr w:type="spellEnd"/>
            <w:r w:rsidRPr="0095130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учета)</w:t>
            </w:r>
          </w:p>
        </w:tc>
      </w:tr>
      <w:tr w:rsidR="00951301" w:rsidRPr="002153DD" w:rsidTr="002153DD">
        <w:trPr>
          <w:trHeight w:val="444"/>
        </w:trPr>
        <w:tc>
          <w:tcPr>
            <w:tcW w:w="4476" w:type="dxa"/>
          </w:tcPr>
          <w:p w:rsidR="00951301" w:rsidRPr="002153DD" w:rsidRDefault="00951301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lastRenderedPageBreak/>
              <w:t>Акт о списании исключенных объектов</w:t>
            </w:r>
            <w:r w:rsidR="00B1682F"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библиотечного фонда (ф. 0504144)</w:t>
            </w:r>
          </w:p>
        </w:tc>
        <w:tc>
          <w:tcPr>
            <w:tcW w:w="4992" w:type="dxa"/>
          </w:tcPr>
          <w:p w:rsidR="00951301" w:rsidRPr="002153DD" w:rsidRDefault="00B1682F" w:rsidP="00395F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Списание литературы из библиотечного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фонда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(с</w:t>
            </w:r>
            <w:r w:rsidR="00395F9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3DD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риложением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исключенной литературы)</w:t>
            </w:r>
          </w:p>
        </w:tc>
      </w:tr>
      <w:tr w:rsidR="00B1682F" w:rsidRPr="002153DD" w:rsidTr="002153DD">
        <w:trPr>
          <w:trHeight w:val="444"/>
        </w:trPr>
        <w:tc>
          <w:tcPr>
            <w:tcW w:w="4476" w:type="dxa"/>
          </w:tcPr>
          <w:p w:rsidR="00B1682F" w:rsidRPr="002153DD" w:rsidRDefault="00B1682F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Акт о ликвидации (уничтожении) основного средства</w:t>
            </w:r>
          </w:p>
        </w:tc>
        <w:tc>
          <w:tcPr>
            <w:tcW w:w="4992" w:type="dxa"/>
          </w:tcPr>
          <w:p w:rsidR="00B1682F" w:rsidRPr="002153DD" w:rsidRDefault="00B1682F" w:rsidP="002153D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Оформляется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ликвидации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(уничтожении) объектов основных средств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силами учреждения (Учетная политика для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целей бухгалтерского учета)</w:t>
            </w:r>
            <w:r w:rsidR="00395F9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682F" w:rsidRPr="002153DD" w:rsidTr="002153DD">
        <w:trPr>
          <w:trHeight w:val="444"/>
        </w:trPr>
        <w:tc>
          <w:tcPr>
            <w:tcW w:w="4476" w:type="dxa"/>
          </w:tcPr>
          <w:p w:rsidR="00B1682F" w:rsidRPr="002153DD" w:rsidRDefault="00B1682F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Акт о списании материальных запасов (ф. 0504230)</w:t>
            </w:r>
          </w:p>
        </w:tc>
        <w:tc>
          <w:tcPr>
            <w:tcW w:w="4992" w:type="dxa"/>
          </w:tcPr>
          <w:p w:rsidR="00B1682F" w:rsidRPr="00B1682F" w:rsidRDefault="00B1682F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Оформляется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после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документального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подтверждения достижения целей, ради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которых выдавались материальные </w:t>
            </w:r>
            <w:proofErr w:type="spellStart"/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запасы</w:t>
            </w:r>
            <w:proofErr w:type="gramStart"/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ктом</w:t>
            </w:r>
            <w:proofErr w:type="spellEnd"/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как правило, оформляются выдача и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списание:</w:t>
            </w:r>
          </w:p>
          <w:p w:rsidR="00B1682F" w:rsidRPr="002153DD" w:rsidRDefault="00B1682F" w:rsidP="00395F9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95F9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строительных материалов;</w:t>
            </w:r>
            <w:r w:rsidRPr="002153DD">
              <w:rPr>
                <w:rFonts w:ascii="yandex-sans" w:hAnsi="yandex-sans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- запасных частей и иных материалов,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используемых для изготовления (ремонта)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нефинансовых активов;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proofErr w:type="gramStart"/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орогостоящих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принадлежностей;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материальных запасов, используемых не в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повседневной деятельности учреждения, а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для проведения разовых мероприятий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(концертов, семинаров и т.п.)</w:t>
            </w:r>
          </w:p>
        </w:tc>
      </w:tr>
      <w:tr w:rsidR="00B1682F" w:rsidRPr="002153DD" w:rsidTr="002153DD">
        <w:trPr>
          <w:trHeight w:val="444"/>
        </w:trPr>
        <w:tc>
          <w:tcPr>
            <w:tcW w:w="4476" w:type="dxa"/>
          </w:tcPr>
          <w:p w:rsidR="00B1682F" w:rsidRPr="00B1682F" w:rsidRDefault="00B1682F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Акт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приеме-передаче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нефинансовых активов (ф. 0504101)</w:t>
            </w:r>
          </w:p>
          <w:p w:rsidR="00B1682F" w:rsidRPr="002153DD" w:rsidRDefault="00B1682F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2" w:type="dxa"/>
          </w:tcPr>
          <w:p w:rsidR="00B1682F" w:rsidRPr="00B1682F" w:rsidRDefault="00B1682F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Составляется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выбытии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здания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(сооружения) в связи с передачей или при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продаже объекта недвижимости.</w:t>
            </w:r>
          </w:p>
          <w:p w:rsidR="00B1682F" w:rsidRPr="00B1682F" w:rsidRDefault="00B1682F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Акту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прилагаются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395F9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егистрации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прав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(прекращении прав) на недвижимость (их</w:t>
            </w:r>
            <w:proofErr w:type="gramEnd"/>
          </w:p>
          <w:p w:rsidR="00B1682F" w:rsidRPr="002153DD" w:rsidRDefault="00B1682F" w:rsidP="002153DD">
            <w:pPr>
              <w:shd w:val="clear" w:color="auto" w:fill="FFFFFF"/>
              <w:spacing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заверенные копии)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Составляется при выбытии объектов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основных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недвижимого</w:t>
            </w:r>
            <w:proofErr w:type="gramEnd"/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непроизведенных</w:t>
            </w:r>
            <w:proofErr w:type="spellEnd"/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активов в связи с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передачей или продажей</w:t>
            </w:r>
          </w:p>
        </w:tc>
      </w:tr>
      <w:tr w:rsidR="00B1682F" w:rsidRPr="002153DD" w:rsidTr="002153DD">
        <w:trPr>
          <w:trHeight w:val="444"/>
        </w:trPr>
        <w:tc>
          <w:tcPr>
            <w:tcW w:w="4476" w:type="dxa"/>
          </w:tcPr>
          <w:p w:rsidR="00B1682F" w:rsidRPr="002153DD" w:rsidRDefault="00B1682F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Акт о списании дебиторской задолженности с балансового учета</w:t>
            </w:r>
          </w:p>
        </w:tc>
        <w:tc>
          <w:tcPr>
            <w:tcW w:w="4992" w:type="dxa"/>
          </w:tcPr>
          <w:p w:rsidR="00B1682F" w:rsidRPr="00B1682F" w:rsidRDefault="00B1682F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Истечение срока исковой давности (ст. 196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ГК РФ);</w:t>
            </w:r>
          </w:p>
          <w:p w:rsidR="00B1682F" w:rsidRPr="002153DD" w:rsidRDefault="00B1682F" w:rsidP="002153D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-прекращение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(приостановление)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исполнительного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основаниям,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предусмотренным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Федеральным законом от 02.10.2007 N 229-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ФЗ "Об исполнительном производстве";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в соответствии с положениями главы 26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"Прекращение обязательств" ГК РФ</w:t>
            </w:r>
          </w:p>
        </w:tc>
      </w:tr>
      <w:tr w:rsidR="00B1682F" w:rsidRPr="002153DD" w:rsidTr="002153DD">
        <w:trPr>
          <w:trHeight w:val="444"/>
        </w:trPr>
        <w:tc>
          <w:tcPr>
            <w:tcW w:w="4476" w:type="dxa"/>
          </w:tcPr>
          <w:p w:rsidR="00B1682F" w:rsidRPr="002153DD" w:rsidRDefault="00B1682F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Акт о списании дебиторской задолженности с </w:t>
            </w:r>
            <w:proofErr w:type="spellStart"/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забалансового</w:t>
            </w:r>
            <w:proofErr w:type="spellEnd"/>
            <w:r w:rsidRPr="002153D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учета)</w:t>
            </w:r>
            <w:proofErr w:type="gramEnd"/>
          </w:p>
        </w:tc>
        <w:tc>
          <w:tcPr>
            <w:tcW w:w="4992" w:type="dxa"/>
          </w:tcPr>
          <w:p w:rsidR="00B1682F" w:rsidRPr="00B1682F" w:rsidRDefault="00B1682F" w:rsidP="002153D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-Завершение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срока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возможного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возобновления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процедуры</w:t>
            </w:r>
          </w:p>
          <w:p w:rsidR="00B1682F" w:rsidRPr="002153DD" w:rsidRDefault="00B1682F" w:rsidP="002153D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153DD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зыскания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задолженности согласно действующему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законодательству;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получении документов, подтверждающих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прекращение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обязательств</w:t>
            </w:r>
            <w:r w:rsidRPr="002153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(ликвидацией) </w:t>
            </w:r>
            <w:r w:rsidRPr="00B1682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дебитора (кредитора)</w:t>
            </w:r>
          </w:p>
        </w:tc>
      </w:tr>
    </w:tbl>
    <w:p w:rsidR="00B1682F" w:rsidRPr="002153DD" w:rsidRDefault="00B1682F" w:rsidP="002153D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1682F" w:rsidRPr="00B1682F" w:rsidRDefault="00B1682F" w:rsidP="00395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8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Принятие решений по обесценению активов</w:t>
      </w:r>
    </w:p>
    <w:p w:rsidR="00395F97" w:rsidRDefault="00395F97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1682F" w:rsidRPr="00B1682F" w:rsidRDefault="00B1682F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68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4.1. В ходе инвентаризации или отдельной процедуры перед составлением годовой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168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отчетности комиссия выявляет признаки возможного обесценения активов. Кроме теста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168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обесценение, перед составлением годовой отчетности комиссия также выявляет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168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признаки уменьшения или отсутствия ранее признанного убытка от обесценения.</w:t>
      </w:r>
    </w:p>
    <w:p w:rsidR="00B1682F" w:rsidRPr="00B1682F" w:rsidRDefault="00B1682F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68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B168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Если признаки обесценения или снижения убытка от обесценения признаны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168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комиссией существенными, то она выносит заключение об определении справедливой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168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стоимость каждого актива, по которому такие признаки выявлены.</w:t>
      </w:r>
      <w:proofErr w:type="gramEnd"/>
      <w:r w:rsidRPr="00B168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Также комиссия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168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выбирает метод определения справедливой стоимости для каждого выявленного случая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168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обесценения (снижения убытка от обесценения) актива.</w:t>
      </w:r>
    </w:p>
    <w:p w:rsidR="00B1682F" w:rsidRPr="00B1682F" w:rsidRDefault="00B1682F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68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4.5. Решение о признании обесценения актива, определении справедливой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168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стоимости и о применяемом для этого методе оформляется в виде акта.</w:t>
      </w:r>
    </w:p>
    <w:p w:rsidR="00B1682F" w:rsidRPr="00B1682F" w:rsidRDefault="00B1682F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68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решении комиссии могут быть указаны рекомендации по дальнейшему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168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использованию имущества.</w:t>
      </w:r>
    </w:p>
    <w:p w:rsidR="00B1682F" w:rsidRPr="00B1682F" w:rsidRDefault="00B1682F" w:rsidP="002153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68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4.6. В случае выявления признаков снижения убытка от обесценения, когда сумма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168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убытка не подлежит восстановлению, комиссия выносит заключение о необходимости</w:t>
      </w:r>
      <w:r w:rsidR="00395F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168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(отсутствии необходимости) скорректировать оставшийся срок полезного использования</w:t>
      </w:r>
      <w:r w:rsidRPr="002153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актива.</w:t>
      </w:r>
    </w:p>
    <w:p w:rsidR="00B1682F" w:rsidRPr="002153DD" w:rsidRDefault="00B1682F" w:rsidP="002153DD">
      <w:pPr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</w:p>
    <w:sectPr w:rsidR="00B1682F" w:rsidRPr="002153DD" w:rsidSect="0064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FD7"/>
    <w:rsid w:val="002153DD"/>
    <w:rsid w:val="00395F97"/>
    <w:rsid w:val="004813B1"/>
    <w:rsid w:val="004A7E0C"/>
    <w:rsid w:val="004B730E"/>
    <w:rsid w:val="004D09C4"/>
    <w:rsid w:val="00591FD7"/>
    <w:rsid w:val="00640B53"/>
    <w:rsid w:val="00746FAA"/>
    <w:rsid w:val="00951301"/>
    <w:rsid w:val="00B1682F"/>
    <w:rsid w:val="00BE5569"/>
    <w:rsid w:val="00CA56C5"/>
    <w:rsid w:val="00DA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2020-09-07T06:43:00Z</dcterms:created>
  <dcterms:modified xsi:type="dcterms:W3CDTF">2020-12-22T12:21:00Z</dcterms:modified>
</cp:coreProperties>
</file>