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A3" w:rsidRDefault="005C2AA3" w:rsidP="005C2AA3">
      <w:pPr>
        <w:pStyle w:val="a3"/>
        <w:jc w:val="center"/>
      </w:pPr>
      <w:r>
        <w:rPr>
          <w:rStyle w:val="a4"/>
        </w:rPr>
        <w:t xml:space="preserve">Основные положения учетной политики Управления финансов Администрации </w:t>
      </w:r>
      <w:proofErr w:type="spellStart"/>
      <w:r>
        <w:rPr>
          <w:rStyle w:val="a4"/>
        </w:rPr>
        <w:t>Угличского</w:t>
      </w:r>
      <w:proofErr w:type="spellEnd"/>
      <w:r>
        <w:rPr>
          <w:rStyle w:val="a4"/>
        </w:rPr>
        <w:t xml:space="preserve"> муниципального района, утверждённой приказом начальника Управления от 02 августа 2021 г. № 40 </w:t>
      </w:r>
    </w:p>
    <w:p w:rsidR="005C2AA3" w:rsidRDefault="005C2AA3" w:rsidP="005C2AA3">
      <w:pPr>
        <w:pStyle w:val="a3"/>
      </w:pPr>
      <w:r>
        <w:t>Учетная политика разработана на основании и во исполнение положений:</w:t>
      </w:r>
    </w:p>
    <w:p w:rsidR="005C2AA3" w:rsidRDefault="005C2AA3" w:rsidP="005C2AA3">
      <w:pPr>
        <w:pStyle w:val="a3"/>
      </w:pPr>
      <w:r>
        <w:t>- федерального закона от 06.12.2011 № 402-ФЗ «О бухгалтерском учете»;</w:t>
      </w:r>
    </w:p>
    <w:p w:rsidR="005C2AA3" w:rsidRDefault="005C2AA3" w:rsidP="005C2AA3">
      <w:pPr>
        <w:pStyle w:val="a3"/>
      </w:pPr>
      <w:r>
        <w:t>- федеральных стандартов бухгалтерского учета для организаций государственного сектора, утвержденных приказами Министерства финансов Российской Федерации:</w:t>
      </w:r>
    </w:p>
    <w:p w:rsidR="005C2AA3" w:rsidRDefault="005C2AA3" w:rsidP="005C2AA3">
      <w:pPr>
        <w:pStyle w:val="a3"/>
      </w:pPr>
      <w:r>
        <w:t xml:space="preserve">от 31.12.2016 № 256н «Концептуальные основы бухгалтерского учета и отчетности организаций государственного сектора», </w:t>
      </w:r>
    </w:p>
    <w:p w:rsidR="005C2AA3" w:rsidRDefault="005C2AA3" w:rsidP="005C2AA3">
      <w:pPr>
        <w:pStyle w:val="a3"/>
      </w:pPr>
      <w:r>
        <w:t xml:space="preserve">от 31.12.2016 № 257н «Основные средства», </w:t>
      </w:r>
    </w:p>
    <w:p w:rsidR="005C2AA3" w:rsidRDefault="005C2AA3" w:rsidP="005C2AA3">
      <w:pPr>
        <w:pStyle w:val="a3"/>
      </w:pPr>
      <w:r>
        <w:t xml:space="preserve">от 31.12.2016 № 258н «Аренда», </w:t>
      </w:r>
    </w:p>
    <w:p w:rsidR="005C2AA3" w:rsidRDefault="005C2AA3" w:rsidP="005C2AA3">
      <w:pPr>
        <w:pStyle w:val="a3"/>
      </w:pPr>
      <w:r>
        <w:t xml:space="preserve">от 31.12.2016 № 259н «Обесценение активов», </w:t>
      </w:r>
    </w:p>
    <w:p w:rsidR="005C2AA3" w:rsidRDefault="005C2AA3" w:rsidP="005C2AA3">
      <w:pPr>
        <w:pStyle w:val="a3"/>
      </w:pPr>
      <w:r>
        <w:t>от 31.12.2016 № 260н «Представление бухгалтерской (финансовой) отчетности»,</w:t>
      </w:r>
    </w:p>
    <w:p w:rsidR="005C2AA3" w:rsidRDefault="005C2AA3" w:rsidP="005C2AA3">
      <w:pPr>
        <w:pStyle w:val="a3"/>
      </w:pPr>
      <w:r>
        <w:t>от 30.12.2017 № 274н «Учетная политика, оценочные значения и ошибки»,</w:t>
      </w:r>
    </w:p>
    <w:p w:rsidR="005C2AA3" w:rsidRDefault="005C2AA3" w:rsidP="005C2AA3">
      <w:pPr>
        <w:pStyle w:val="a3"/>
      </w:pPr>
      <w:r>
        <w:t>от 30.12.2017 № 275н «События после отчетной даты»,</w:t>
      </w:r>
    </w:p>
    <w:p w:rsidR="005C2AA3" w:rsidRDefault="005C2AA3" w:rsidP="005C2AA3">
      <w:pPr>
        <w:pStyle w:val="a3"/>
      </w:pPr>
      <w:r>
        <w:t>от 30.12.2017 № 277н «Информация о связанных сторонах»,</w:t>
      </w:r>
    </w:p>
    <w:p w:rsidR="005C2AA3" w:rsidRDefault="005C2AA3" w:rsidP="005C2AA3">
      <w:pPr>
        <w:pStyle w:val="a3"/>
      </w:pPr>
      <w:r>
        <w:t>от 30.12.2017 № 278н «Отчет о движении денежных средств»,</w:t>
      </w:r>
    </w:p>
    <w:p w:rsidR="005C2AA3" w:rsidRDefault="005C2AA3" w:rsidP="005C2AA3">
      <w:pPr>
        <w:pStyle w:val="a3"/>
      </w:pPr>
      <w:r>
        <w:t>от 27.02.2018 № 32н «Доходы»,</w:t>
      </w:r>
    </w:p>
    <w:p w:rsidR="005C2AA3" w:rsidRDefault="005C2AA3" w:rsidP="005C2AA3">
      <w:pPr>
        <w:pStyle w:val="a3"/>
      </w:pPr>
      <w:r>
        <w:t xml:space="preserve">от 28.02.2018 № 34н «Непроизведенные активы», </w:t>
      </w:r>
    </w:p>
    <w:p w:rsidR="005C2AA3" w:rsidRDefault="005C2AA3" w:rsidP="005C2AA3">
      <w:pPr>
        <w:pStyle w:val="a3"/>
      </w:pPr>
      <w:r>
        <w:t>от 28.02.2018 № 37н «Бюджетная информация в бухгалтерской (финансовой) отчетности»,</w:t>
      </w:r>
    </w:p>
    <w:p w:rsidR="005C2AA3" w:rsidRDefault="005C2AA3" w:rsidP="005C2AA3">
      <w:pPr>
        <w:pStyle w:val="a3"/>
      </w:pPr>
      <w:r>
        <w:t>от 30.05.2018 № 122н «Влияние изменений курсов иностранных валют»,</w:t>
      </w:r>
    </w:p>
    <w:p w:rsidR="005C2AA3" w:rsidRDefault="005C2AA3" w:rsidP="005C2AA3">
      <w:pPr>
        <w:pStyle w:val="a3"/>
      </w:pPr>
      <w:r>
        <w:t>от 30.05.2018 № 124н «Резервы. Раскрытие информации об условных обязательствах и условных активах»,</w:t>
      </w:r>
    </w:p>
    <w:p w:rsidR="005C2AA3" w:rsidRDefault="005C2AA3" w:rsidP="005C2AA3">
      <w:pPr>
        <w:pStyle w:val="a3"/>
      </w:pPr>
      <w:r>
        <w:t>от 29.06.2018 № 145н «Долгосрочные договоры»,</w:t>
      </w:r>
    </w:p>
    <w:p w:rsidR="005C2AA3" w:rsidRDefault="005C2AA3" w:rsidP="005C2AA3">
      <w:pPr>
        <w:pStyle w:val="a3"/>
      </w:pPr>
      <w:r>
        <w:t>от 29.06.2018 № 146н «Концессионные соглашения»,</w:t>
      </w:r>
    </w:p>
    <w:p w:rsidR="005C2AA3" w:rsidRDefault="005C2AA3" w:rsidP="005C2AA3">
      <w:pPr>
        <w:pStyle w:val="a3"/>
      </w:pPr>
      <w:r>
        <w:t>от 07.12.2018 № 256н «Запасы»;</w:t>
      </w:r>
    </w:p>
    <w:p w:rsidR="005C2AA3" w:rsidRDefault="005C2AA3" w:rsidP="005C2AA3">
      <w:pPr>
        <w:pStyle w:val="a3"/>
      </w:pPr>
      <w:r>
        <w:t>от 15.11.2019 №181н «Нематериальные активы»;</w:t>
      </w:r>
    </w:p>
    <w:p w:rsidR="005C2AA3" w:rsidRDefault="005C2AA3" w:rsidP="005C2AA3">
      <w:pPr>
        <w:pStyle w:val="a3"/>
      </w:pPr>
      <w:r>
        <w:t>от 15.11.2019 №182н «Затраты по заимствованиям»;</w:t>
      </w:r>
    </w:p>
    <w:p w:rsidR="005C2AA3" w:rsidRDefault="005C2AA3" w:rsidP="005C2AA3">
      <w:pPr>
        <w:pStyle w:val="a3"/>
      </w:pPr>
      <w:r>
        <w:t>от 15.11.2019 №183н «Совместная деятельность»;</w:t>
      </w:r>
    </w:p>
    <w:p w:rsidR="005C2AA3" w:rsidRDefault="005C2AA3" w:rsidP="005C2AA3">
      <w:pPr>
        <w:pStyle w:val="a3"/>
      </w:pPr>
      <w:r>
        <w:lastRenderedPageBreak/>
        <w:t>от 15.11.2019 №184н «Выплаты персоналу»;</w:t>
      </w:r>
    </w:p>
    <w:p w:rsidR="005C2AA3" w:rsidRDefault="005C2AA3" w:rsidP="005C2AA3">
      <w:pPr>
        <w:pStyle w:val="a3"/>
      </w:pPr>
      <w:r>
        <w:t>от 30.06.2020 №129н «Финансовые инструменты».</w:t>
      </w:r>
    </w:p>
    <w:p w:rsidR="005C2AA3" w:rsidRDefault="005C2AA3" w:rsidP="005C2AA3">
      <w:pPr>
        <w:pStyle w:val="a3"/>
      </w:pPr>
      <w:r>
        <w:t>от 30 декабря 2017 г. N 277н "Информация о связанных сторонах";</w:t>
      </w:r>
    </w:p>
    <w:p w:rsidR="005C2AA3" w:rsidRDefault="005C2AA3" w:rsidP="005C2AA3">
      <w:pPr>
        <w:pStyle w:val="a3"/>
      </w:pPr>
      <w:r>
        <w:t>от 29.09.2020 № 223н «Сведения о показателях бухгалтерской (финансовой) отчетности по сегментам»;</w:t>
      </w:r>
    </w:p>
    <w:p w:rsidR="005C2AA3" w:rsidRDefault="005C2AA3" w:rsidP="005C2AA3">
      <w:pPr>
        <w:pStyle w:val="a3"/>
      </w:pPr>
      <w:r>
        <w:t>от 30.10.2020 № 255н «Консолидированная бухгалтерская (финансовая) отчетность»</w:t>
      </w:r>
    </w:p>
    <w:p w:rsidR="005C2AA3" w:rsidRDefault="005C2AA3" w:rsidP="005C2AA3">
      <w:pPr>
        <w:pStyle w:val="a3"/>
      </w:pPr>
      <w:r>
        <w:t>– приказом Минфина России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157н);</w:t>
      </w:r>
    </w:p>
    <w:p w:rsidR="005C2AA3" w:rsidRDefault="005C2AA3" w:rsidP="005C2AA3">
      <w:pPr>
        <w:pStyle w:val="a3"/>
      </w:pPr>
      <w:r>
        <w:t>– приказом Минфина России от 06 декабря 2010г. № 162н «Об утверждении плана счетов бюджетного учета и Инструкции по его применению» (далее – Инструкция № 162н);</w:t>
      </w:r>
    </w:p>
    <w:p w:rsidR="005C2AA3" w:rsidRDefault="005C2AA3" w:rsidP="005C2AA3">
      <w:pPr>
        <w:pStyle w:val="a3"/>
      </w:pPr>
      <w:r>
        <w:t>-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191н;</w:t>
      </w:r>
    </w:p>
    <w:p w:rsidR="005C2AA3" w:rsidRDefault="005C2AA3" w:rsidP="005C2AA3">
      <w:pPr>
        <w:pStyle w:val="a3"/>
      </w:pPr>
      <w:r>
        <w:t>– приказом Минфина России от 06 июня 2019г.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5C2AA3" w:rsidRDefault="005C2AA3" w:rsidP="005C2AA3">
      <w:pPr>
        <w:pStyle w:val="a3"/>
      </w:pPr>
      <w:r>
        <w:t>– приказом Минфина России от 29 ноября 2017г.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5C2AA3" w:rsidRDefault="005C2AA3" w:rsidP="005C2AA3">
      <w:pPr>
        <w:pStyle w:val="a3"/>
      </w:pPr>
      <w:r>
        <w:t>– приказом Минфина России от 30 марта 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:rsidR="005C2AA3" w:rsidRDefault="005C2AA3" w:rsidP="005C2AA3">
      <w:pPr>
        <w:pStyle w:val="a3"/>
      </w:pPr>
      <w:r>
        <w:t>- нормативными правовыми актами Министерства финансов Российской Федерации, регулирующих порядок применения бюджетной классификации и классификации операций сектора государственного управления;</w:t>
      </w:r>
    </w:p>
    <w:p w:rsidR="005C2AA3" w:rsidRDefault="005C2AA3" w:rsidP="005C2AA3">
      <w:pPr>
        <w:pStyle w:val="a3"/>
      </w:pPr>
      <w:r>
        <w:t>– иными нормативными правовыми актами, регулирующими вопросы организации и ведения бухгалтерского учета.</w:t>
      </w:r>
    </w:p>
    <w:p w:rsidR="005C2AA3" w:rsidRDefault="005C2AA3" w:rsidP="005C2AA3">
      <w:pPr>
        <w:pStyle w:val="a3"/>
      </w:pPr>
      <w:r>
        <w:t xml:space="preserve">Рабочий план счетов бухгалтерского учета разработан в соответствии с Инструкциями № 157н, 162н, порядком применения </w:t>
      </w:r>
      <w:proofErr w:type="spellStart"/>
      <w:r>
        <w:t>класификации</w:t>
      </w:r>
      <w:proofErr w:type="spellEnd"/>
      <w:r>
        <w:t xml:space="preserve"> операций сектора государственного управления, утверждённым приказом Министерства финансов Российской Федерации от 29.11.2017 № 209н. </w:t>
      </w:r>
    </w:p>
    <w:p w:rsidR="005C2AA3" w:rsidRDefault="005C2AA3" w:rsidP="005C2AA3">
      <w:pPr>
        <w:pStyle w:val="a3"/>
      </w:pPr>
      <w:r>
        <w:lastRenderedPageBreak/>
        <w:t>При оформлении хозяйственных операций, по которым не предусмотрены типовые формы первичных учетных документов, применяются формы, утвержденные настоящей Учетной политикой.</w:t>
      </w:r>
    </w:p>
    <w:p w:rsidR="005C2AA3" w:rsidRDefault="005C2AA3" w:rsidP="005C2AA3">
      <w:pPr>
        <w:pStyle w:val="a3"/>
      </w:pPr>
      <w:r>
        <w:t>Утвержден порядок заверения копий электронных документов на бумажном носителе.</w:t>
      </w:r>
    </w:p>
    <w:p w:rsidR="005C2AA3" w:rsidRDefault="005C2AA3" w:rsidP="005C2AA3">
      <w:pPr>
        <w:pStyle w:val="a3"/>
      </w:pPr>
      <w:r>
        <w:t>Установлена предельная дата принятия к учёту первичных учетных документов для раскрытия данных о событиях после отчетной даты в бухгалтерском учете и (или) в годовой бухгалтерской (финансовой) отчетности.</w:t>
      </w:r>
    </w:p>
    <w:p w:rsidR="005C2AA3" w:rsidRDefault="005C2AA3" w:rsidP="005C2AA3">
      <w:pPr>
        <w:pStyle w:val="a3"/>
      </w:pPr>
      <w:r>
        <w:t>Документооборот в управлении осуществляется в соответствии с утверждённым Графиком представления в отдел бухгалтерского учёта и отчётности работниками управления документов, связанных с бухгалтерским учётом и отчётностью.</w:t>
      </w:r>
    </w:p>
    <w:p w:rsidR="005C2AA3" w:rsidRDefault="005C2AA3" w:rsidP="005C2AA3">
      <w:pPr>
        <w:pStyle w:val="a3"/>
      </w:pPr>
      <w:r>
        <w:t>Бухгалтерский учет, составление бухгалтерской отчетности и налоговой отчетности осуществляется в электронном виде с использованием программ автоматизации бухгалтерского учета.</w:t>
      </w:r>
    </w:p>
    <w:p w:rsidR="005C2AA3" w:rsidRDefault="005C2AA3" w:rsidP="005C2AA3">
      <w:pPr>
        <w:pStyle w:val="a3"/>
      </w:pPr>
      <w:r>
        <w:t>Электронный документооборот с использованием телекоммуникационных каналов связи и электронной подписи осуществляется:</w:t>
      </w:r>
    </w:p>
    <w:p w:rsidR="005C2AA3" w:rsidRDefault="005C2AA3" w:rsidP="005C2AA3">
      <w:pPr>
        <w:pStyle w:val="a3"/>
      </w:pPr>
      <w:r>
        <w:t>- с территориальным органом Федерального казначейства;</w:t>
      </w:r>
    </w:p>
    <w:p w:rsidR="005C2AA3" w:rsidRDefault="005C2AA3" w:rsidP="005C2AA3">
      <w:pPr>
        <w:pStyle w:val="a3"/>
      </w:pPr>
      <w:r>
        <w:t>- с органами Федеральной налоговой службы;</w:t>
      </w:r>
    </w:p>
    <w:p w:rsidR="005C2AA3" w:rsidRDefault="005C2AA3" w:rsidP="005C2AA3">
      <w:pPr>
        <w:pStyle w:val="a3"/>
      </w:pPr>
      <w:r>
        <w:t>- с государственными внебюджетными фондами;</w:t>
      </w:r>
    </w:p>
    <w:p w:rsidR="005C2AA3" w:rsidRDefault="005C2AA3" w:rsidP="005C2AA3">
      <w:pPr>
        <w:pStyle w:val="a3"/>
      </w:pPr>
      <w:r>
        <w:t>- с отделами управления;</w:t>
      </w:r>
    </w:p>
    <w:p w:rsidR="005C2AA3" w:rsidRDefault="005C2AA3" w:rsidP="005C2AA3">
      <w:pPr>
        <w:pStyle w:val="a3"/>
      </w:pPr>
      <w:r>
        <w:t xml:space="preserve">- с кредитными организациями; </w:t>
      </w:r>
    </w:p>
    <w:p w:rsidR="005C2AA3" w:rsidRDefault="005C2AA3" w:rsidP="005C2AA3">
      <w:pPr>
        <w:pStyle w:val="a3"/>
      </w:pPr>
      <w:r>
        <w:t xml:space="preserve">- с департаментом финансов области. </w:t>
      </w:r>
    </w:p>
    <w:p w:rsidR="005C2AA3" w:rsidRDefault="005C2AA3" w:rsidP="005C2AA3">
      <w:pPr>
        <w:pStyle w:val="a3"/>
      </w:pPr>
      <w:r>
        <w:t>Настоящей Учётной политикой определены:</w:t>
      </w:r>
    </w:p>
    <w:p w:rsidR="005C2AA3" w:rsidRDefault="005C2AA3" w:rsidP="005C2AA3">
      <w:pPr>
        <w:pStyle w:val="a3"/>
      </w:pPr>
      <w:r>
        <w:t>- лица, наделённые правом первой и второй подписи;</w:t>
      </w:r>
    </w:p>
    <w:p w:rsidR="005C2AA3" w:rsidRDefault="005C2AA3" w:rsidP="005C2AA3">
      <w:pPr>
        <w:pStyle w:val="a3"/>
      </w:pPr>
      <w:r>
        <w:t>- порядок передачи права первой подписи финансовых документов, платежных документов, договоров гражданско-правового характера уполномоченным лицам управления;</w:t>
      </w:r>
    </w:p>
    <w:p w:rsidR="005C2AA3" w:rsidRDefault="005C2AA3" w:rsidP="005C2AA3">
      <w:pPr>
        <w:pStyle w:val="a3"/>
      </w:pPr>
      <w:r>
        <w:t>- порядок передачи права второй подписи финансовых документов, платежных документов уполномоченным лицам управления;</w:t>
      </w:r>
    </w:p>
    <w:p w:rsidR="005C2AA3" w:rsidRDefault="005C2AA3" w:rsidP="005C2AA3">
      <w:pPr>
        <w:pStyle w:val="a3"/>
      </w:pPr>
      <w:r>
        <w:t>- порядок начисления доходов, администрируемых управлением;</w:t>
      </w:r>
    </w:p>
    <w:p w:rsidR="005C2AA3" w:rsidRDefault="005C2AA3" w:rsidP="005C2AA3">
      <w:pPr>
        <w:pStyle w:val="a3"/>
      </w:pPr>
      <w:r>
        <w:t>- ответственных лиц по хранению и выдаче денежных документов и за регистрацию доверенностей;</w:t>
      </w:r>
    </w:p>
    <w:p w:rsidR="005C2AA3" w:rsidRDefault="005C2AA3" w:rsidP="005C2AA3">
      <w:pPr>
        <w:pStyle w:val="a3"/>
      </w:pPr>
      <w:r>
        <w:t xml:space="preserve">- полномочия инвентаризационной комиссии и комиссии по поступлению и выбытию активов, действующих на постоянной основе; </w:t>
      </w:r>
    </w:p>
    <w:p w:rsidR="005C2AA3" w:rsidRDefault="005C2AA3" w:rsidP="005C2AA3">
      <w:pPr>
        <w:pStyle w:val="a3"/>
      </w:pPr>
      <w:r>
        <w:lastRenderedPageBreak/>
        <w:t xml:space="preserve">- порядок проведения инвентаризации активов, имущества, учитываемого на </w:t>
      </w:r>
      <w:proofErr w:type="spellStart"/>
      <w:r>
        <w:t>забалансовых</w:t>
      </w:r>
      <w:proofErr w:type="spellEnd"/>
      <w:r>
        <w:t xml:space="preserve"> счетах, обязательств и иных объектов бухгалтерского учета;</w:t>
      </w:r>
    </w:p>
    <w:p w:rsidR="005C2AA3" w:rsidRDefault="005C2AA3" w:rsidP="005C2AA3">
      <w:pPr>
        <w:pStyle w:val="a3"/>
      </w:pPr>
      <w:r>
        <w:t>- порядок осуществления внутреннего финансового контроля;</w:t>
      </w:r>
    </w:p>
    <w:p w:rsidR="005C2AA3" w:rsidRDefault="005C2AA3" w:rsidP="005C2AA3">
      <w:pPr>
        <w:pStyle w:val="a3"/>
      </w:pPr>
      <w:r>
        <w:t>Подотчётные суммы на командировочные расходы перечисляются на зарплатную карту сотрудника на основании его личного заявления.</w:t>
      </w:r>
    </w:p>
    <w:p w:rsidR="005C2AA3" w:rsidRDefault="005C2AA3" w:rsidP="005C2AA3">
      <w:pPr>
        <w:pStyle w:val="a3"/>
      </w:pPr>
      <w:r>
        <w:t>Расчёты с подотчётными лицами ведутся путём перечисления денежных средств на лицевые счета карт сотрудников или корпоративных карт на основании Заявления на выдачу аванса.</w:t>
      </w:r>
    </w:p>
    <w:p w:rsidR="005C2AA3" w:rsidRDefault="005C2AA3" w:rsidP="005C2AA3">
      <w:pPr>
        <w:pStyle w:val="a3"/>
      </w:pPr>
      <w:r>
        <w:t>Начисление амортизации объектов основных средств, в том числе комплексов объектов основных средств, нематериальных активов производится линейным методом.</w:t>
      </w:r>
    </w:p>
    <w:p w:rsidR="005C2AA3" w:rsidRDefault="005C2AA3" w:rsidP="005C2AA3">
      <w:pPr>
        <w:pStyle w:val="a3"/>
      </w:pPr>
      <w:r>
        <w:t>Списание материальных запасов проводится по фактической стоимости каждой единицы.</w:t>
      </w:r>
    </w:p>
    <w:p w:rsidR="005C2AA3" w:rsidRDefault="005C2AA3" w:rsidP="005C2AA3">
      <w:pPr>
        <w:pStyle w:val="a3"/>
      </w:pPr>
      <w:r>
        <w:t xml:space="preserve">Списание с учета денежных документов проводится по средней стоимости номенклатурной единицы. </w:t>
      </w:r>
    </w:p>
    <w:p w:rsidR="005C2AA3" w:rsidRDefault="005C2AA3" w:rsidP="005C2AA3">
      <w:pPr>
        <w:pStyle w:val="a3"/>
      </w:pPr>
      <w:r>
        <w:t>Начисление физическим лицам выплат по оплате труда и иных выплат осуществляется на основании Табеля учета рабочего времени (ф.0504421), который ведется методом отклонений от нормального использования рабочего времени с формированием итогов явок и неявок.</w:t>
      </w:r>
    </w:p>
    <w:p w:rsidR="005C2AA3" w:rsidRDefault="005C2AA3" w:rsidP="005C2AA3">
      <w:pPr>
        <w:pStyle w:val="a3"/>
      </w:pPr>
      <w:r>
        <w:t>Выплаты начисленных сумм по оплате труда и иным выплатам осуществляются путем перечисления денежных средств на лицевые счета карт сотрудников по реестрам в рамках действующих договоров с кредитными учреждениями или на основании заявлений сотрудников.</w:t>
      </w:r>
    </w:p>
    <w:p w:rsidR="005C2AA3" w:rsidRDefault="005C2AA3" w:rsidP="005C2AA3">
      <w:pPr>
        <w:pStyle w:val="a3"/>
      </w:pPr>
      <w:r>
        <w:t>В управлении создаётся резерв на оплату отпусков. Сумма начисленного резерва отражается на счёте 140160000 «Резервы предстоящих расходов» в размере начисленных расходов на оплату предстоящих отпусков и ставки страховых взносов. Начисление производится ежегодно последним рабочим днём на основании информации, полученной от сотрудника, ответственного за ведение кадрового делопроизводства. Информация предоставляется в произвольной форме. Сумма резерва на оплату предстоящих отпусков рассчитывается исходя из количества не использованных каждым сотрудником дней отпуска за период с начала работы на дату расчёта и средней заработной платы каждого сотрудника управления. Суммы начисленного резерва относятся на расходы текущего года по мере предоставления отпусков сотрудникам в году, следующем за годом начисления резерва.</w:t>
      </w:r>
    </w:p>
    <w:p w:rsidR="005C2AA3" w:rsidRDefault="005C2AA3" w:rsidP="005C2AA3">
      <w:pPr>
        <w:pStyle w:val="a3"/>
      </w:pPr>
      <w:r>
        <w:t>В составе расходов будущих периодов отражаются:</w:t>
      </w:r>
    </w:p>
    <w:p w:rsidR="005C2AA3" w:rsidRDefault="005C2AA3" w:rsidP="005C2AA3">
      <w:pPr>
        <w:pStyle w:val="a3"/>
      </w:pPr>
      <w:r>
        <w:t>- расходы на приобретение прав на результаты интеллектуальной деятельности, срок полезного использования которых составляет не более 12 месяцев, но переходит за пределы года возникновения таких прав;</w:t>
      </w:r>
    </w:p>
    <w:p w:rsidR="005C2AA3" w:rsidRDefault="005C2AA3" w:rsidP="005C2AA3">
      <w:pPr>
        <w:pStyle w:val="a3"/>
      </w:pPr>
      <w:r>
        <w:t>- иные аналогичные расходы.</w:t>
      </w:r>
    </w:p>
    <w:p w:rsidR="005C2AA3" w:rsidRDefault="005C2AA3" w:rsidP="005C2AA3">
      <w:pPr>
        <w:pStyle w:val="a3"/>
      </w:pPr>
      <w:r>
        <w:t>Расходы будущих периодов признаются расходами текущего финансового года ежемесячно в течение периода, к которому они относятся.</w:t>
      </w:r>
    </w:p>
    <w:p w:rsidR="005C2AA3" w:rsidRDefault="005C2AA3" w:rsidP="005C2AA3">
      <w:pPr>
        <w:pStyle w:val="a3"/>
      </w:pPr>
      <w:r>
        <w:lastRenderedPageBreak/>
        <w:t>Расходы будущих периодов, относящиеся к нескольким отчетным периодам, относятся на финансовый результат текущего финансового года не ранее месяца начала действия соответствующего права по договору, иному правовому основанию.</w:t>
      </w:r>
    </w:p>
    <w:p w:rsidR="005C2AA3" w:rsidRDefault="005C2AA3" w:rsidP="005C2AA3">
      <w:pPr>
        <w:pStyle w:val="a3"/>
      </w:pPr>
      <w:r>
        <w:t>Учет пени и штрафов, связанных с несвоевременными расчетами по платежам в бюджеты, вести на счетах аналитического учета, открытых к счету 1 303 00 000 по соответствующим видам платежей.</w:t>
      </w:r>
    </w:p>
    <w:p w:rsidR="005C2AA3" w:rsidRDefault="005C2AA3" w:rsidP="005C2AA3">
      <w:pPr>
        <w:pStyle w:val="a3"/>
      </w:pPr>
      <w:r>
        <w:t>Принятие к учету кассовых расходов по межбюджетным трансфертам, предоставленным бюджетам поселений, проводить на основании платёжных документов по произведенным расходам.</w:t>
      </w:r>
    </w:p>
    <w:p w:rsidR="005C2AA3" w:rsidRDefault="005C2AA3" w:rsidP="005C2AA3">
      <w:pPr>
        <w:pStyle w:val="a3"/>
      </w:pPr>
      <w:r>
        <w:t xml:space="preserve">Ежеквартально, в последний рабочий день квартала, проводить начисление расходов на сумму перечисленных межбюджетных трансфертов поселениям с оформлением бухгалтерской справки на основании данных форм 0503324. В конце финансового года признание фактических расходов производить с оформлением бухгалтерской справки на основании Актов сверки взаимных расчётов в рамках соглашения о передаче осуществления полномочий по решению вопросов местного значения, Извещения (ф.0504805). </w:t>
      </w:r>
    </w:p>
    <w:p w:rsidR="005C2AA3" w:rsidRDefault="005C2AA3" w:rsidP="005C2AA3">
      <w:pPr>
        <w:pStyle w:val="a3"/>
      </w:pPr>
      <w:r>
        <w:t xml:space="preserve">Учёт в части налога на доходы физических лиц вести в налоговом регистре - Налоговой карточке по учёту доходов и налога на доходы физических лиц по форме, утвержденной настоящей учетной политикой. </w:t>
      </w:r>
    </w:p>
    <w:p w:rsidR="005C2AA3" w:rsidRDefault="005C2AA3" w:rsidP="005C2AA3">
      <w:pPr>
        <w:pStyle w:val="a3"/>
      </w:pPr>
      <w:r>
        <w:t xml:space="preserve">Учёт сумм начисленных выплат работникам, а также сумм страховых взносов в государственные внебюджетные фонды, по каждому физическому лицу, в пользу которого осуществлялись выплаты, вести в Карточке индивидуального учета сумм начисленных выплат, иных вознаграждений, страховых взносов по форме, утвержденной настоящей учетной политикой. </w:t>
      </w:r>
    </w:p>
    <w:p w:rsidR="005C2AA3" w:rsidRDefault="005C2AA3" w:rsidP="005C2AA3">
      <w:pPr>
        <w:pStyle w:val="a3"/>
      </w:pPr>
      <w:r>
        <w:t>Начисления налога на имущество организаций отражать последним числом отчетного периода на основании расчета и оформлять бухгалтерской справкой (ф.0504833).</w:t>
      </w:r>
    </w:p>
    <w:p w:rsidR="00B26D6B" w:rsidRDefault="00B26D6B">
      <w:bookmarkStart w:id="0" w:name="_GoBack"/>
      <w:bookmarkEnd w:id="0"/>
    </w:p>
    <w:sectPr w:rsidR="00B2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87"/>
    <w:rsid w:val="00077787"/>
    <w:rsid w:val="005C2AA3"/>
    <w:rsid w:val="00B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0401-8318-4610-82E3-10EE175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О.Ю.</dc:creator>
  <cp:keywords/>
  <dc:description/>
  <cp:lastModifiedBy>Малышева О.Ю.</cp:lastModifiedBy>
  <cp:revision>3</cp:revision>
  <dcterms:created xsi:type="dcterms:W3CDTF">2022-05-25T10:52:00Z</dcterms:created>
  <dcterms:modified xsi:type="dcterms:W3CDTF">2022-05-25T10:59:00Z</dcterms:modified>
</cp:coreProperties>
</file>